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5F4611">
      <w:pPr>
        <w:pStyle w:val="Heading1"/>
        <w:spacing w:before="0"/>
      </w:pPr>
      <w:r>
        <w:t>Unofficial Degree Planning Worksheet</w:t>
      </w:r>
      <w:r>
        <w:br/>
        <w:t>Catalog Year: 2023 – 2024</w:t>
      </w:r>
    </w:p>
    <w:p w14:paraId="0C8386D4" w14:textId="7477A1CB" w:rsidR="00236044" w:rsidRDefault="00236044" w:rsidP="005F4611">
      <w:pPr>
        <w:pStyle w:val="Heading1"/>
        <w:spacing w:before="0"/>
      </w:pPr>
      <w:r>
        <w:t xml:space="preserve">Major: BA in </w:t>
      </w:r>
      <w:r w:rsidR="00F26A74">
        <w:t>Spanish</w:t>
      </w:r>
    </w:p>
    <w:p w14:paraId="2CD81DCD" w14:textId="7FD0A6F6" w:rsidR="00236044" w:rsidRDefault="00236044" w:rsidP="005F4611">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D26541">
          <w:rPr>
            <w:rStyle w:val="Hyperlink"/>
            <w:color w:val="0000FF"/>
          </w:rPr>
          <w:t>2023 – 2024 catalog</w:t>
        </w:r>
      </w:hyperlink>
      <w:r>
        <w:t>.</w:t>
      </w:r>
    </w:p>
    <w:p w14:paraId="79FC1072" w14:textId="77777777" w:rsidR="00236044" w:rsidRPr="00752C28" w:rsidRDefault="00236044" w:rsidP="005F4611">
      <w:pPr>
        <w:spacing w:after="0"/>
        <w:rPr>
          <w:sz w:val="16"/>
          <w:szCs w:val="16"/>
        </w:rPr>
      </w:pPr>
    </w:p>
    <w:p w14:paraId="560FD07C" w14:textId="77777777" w:rsidR="00236044" w:rsidRDefault="00236044" w:rsidP="005F4611">
      <w:pPr>
        <w:pStyle w:val="Heading2"/>
        <w:spacing w:before="0"/>
      </w:pPr>
      <w:r>
        <w:t>University Graduation Requirements</w:t>
      </w:r>
    </w:p>
    <w:p w14:paraId="37BE149E" w14:textId="5AB3977F" w:rsidR="00236044" w:rsidRDefault="00AD1F91" w:rsidP="005F4611">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CE37F8">
            <w:rPr>
              <w:rFonts w:ascii="MS Gothic" w:eastAsia="MS Gothic" w:hAnsi="MS Gothic" w:hint="eastAsia"/>
            </w:rPr>
            <w:t>☐</w:t>
          </w:r>
        </w:sdtContent>
      </w:sdt>
      <w:r w:rsidR="00236044">
        <w:t>Students must earn 124 hours to be eligible for graduation.</w:t>
      </w:r>
    </w:p>
    <w:p w14:paraId="1229B6A3" w14:textId="77777777" w:rsidR="00236044" w:rsidRDefault="00AD1F91" w:rsidP="005F4611">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AD1F91" w:rsidP="005F4611">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AD1F91" w:rsidP="005F4611">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AD1F91" w:rsidP="005F4611">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Pr="002F4D1C" w:rsidRDefault="00236044" w:rsidP="005F4611">
      <w:pPr>
        <w:spacing w:after="0"/>
        <w:rPr>
          <w:sz w:val="22"/>
          <w:szCs w:val="22"/>
        </w:rPr>
      </w:pPr>
    </w:p>
    <w:p w14:paraId="39EA0935" w14:textId="77777777" w:rsidR="00236044" w:rsidRDefault="00236044" w:rsidP="005F4611">
      <w:pPr>
        <w:pStyle w:val="Heading2"/>
        <w:spacing w:before="0"/>
      </w:pPr>
      <w:r>
        <w:t>Spartan Studies Requirements</w:t>
      </w:r>
    </w:p>
    <w:p w14:paraId="627006BA" w14:textId="77777777" w:rsidR="00236044" w:rsidRPr="00752C28" w:rsidRDefault="00236044" w:rsidP="005F4611">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0F701E">
        <w:trPr>
          <w:cantSplit/>
          <w:trHeight w:val="620"/>
          <w:tblHeader/>
        </w:trPr>
        <w:tc>
          <w:tcPr>
            <w:tcW w:w="7914" w:type="dxa"/>
            <w:shd w:val="clear" w:color="auto" w:fill="D0CECE" w:themeFill="background2" w:themeFillShade="E6"/>
          </w:tcPr>
          <w:p w14:paraId="7EBEEA8E" w14:textId="77777777" w:rsidR="00236044" w:rsidRPr="00D421C1" w:rsidRDefault="00236044" w:rsidP="005F4611">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5F4611">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5F4611">
            <w:pPr>
              <w:spacing w:after="0"/>
              <w:rPr>
                <w:b/>
                <w:bCs/>
              </w:rPr>
            </w:pPr>
            <w:r w:rsidRPr="00D421C1">
              <w:rPr>
                <w:b/>
                <w:bCs/>
              </w:rPr>
              <w:t>Semester Taken</w:t>
            </w:r>
          </w:p>
        </w:tc>
      </w:tr>
      <w:tr w:rsidR="00236044" w14:paraId="2C6F4745" w14:textId="77777777" w:rsidTr="00BE33E9">
        <w:trPr>
          <w:cantSplit/>
          <w:trHeight w:val="1250"/>
        </w:trPr>
        <w:tc>
          <w:tcPr>
            <w:tcW w:w="7914" w:type="dxa"/>
          </w:tcPr>
          <w:p w14:paraId="7950AFC9" w14:textId="77777777" w:rsidR="00236044" w:rsidRDefault="00236044" w:rsidP="005F4611">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5F4611">
            <w:pPr>
              <w:spacing w:after="0"/>
            </w:pPr>
            <w:r w:rsidRPr="00B26CAC">
              <w:rPr>
                <w:b/>
                <w:bCs/>
              </w:rPr>
              <w:t>or</w:t>
            </w:r>
            <w:r>
              <w:t xml:space="preserve"> UTAMPA 104 (2cr) Veteran student seminar</w:t>
            </w:r>
          </w:p>
          <w:p w14:paraId="42BDC844" w14:textId="77777777" w:rsidR="00236044" w:rsidRDefault="00236044" w:rsidP="005F4611">
            <w:pPr>
              <w:spacing w:after="0"/>
            </w:pPr>
            <w:r>
              <w:t>– must be taken in residency</w:t>
            </w:r>
          </w:p>
        </w:tc>
        <w:tc>
          <w:tcPr>
            <w:tcW w:w="1439" w:type="dxa"/>
          </w:tcPr>
          <w:p w14:paraId="05B8A608" w14:textId="77777777" w:rsidR="00236044" w:rsidRDefault="00236044" w:rsidP="005F4611">
            <w:pPr>
              <w:spacing w:after="0"/>
            </w:pPr>
          </w:p>
        </w:tc>
        <w:tc>
          <w:tcPr>
            <w:tcW w:w="1439" w:type="dxa"/>
          </w:tcPr>
          <w:p w14:paraId="17C645C5" w14:textId="77777777" w:rsidR="00236044" w:rsidRDefault="00236044" w:rsidP="005F4611">
            <w:pPr>
              <w:spacing w:after="0"/>
            </w:pPr>
          </w:p>
        </w:tc>
      </w:tr>
      <w:tr w:rsidR="00236044" w14:paraId="6275E9A6" w14:textId="77777777" w:rsidTr="00236044">
        <w:trPr>
          <w:cantSplit/>
          <w:trHeight w:val="762"/>
        </w:trPr>
        <w:tc>
          <w:tcPr>
            <w:tcW w:w="7914" w:type="dxa"/>
          </w:tcPr>
          <w:p w14:paraId="440DFE74" w14:textId="77777777" w:rsidR="00236044" w:rsidRDefault="00236044" w:rsidP="005F4611">
            <w:pPr>
              <w:spacing w:after="0"/>
            </w:pPr>
            <w:r>
              <w:t>AWR 101 (4cr) - Reading Locally &amp; Globally</w:t>
            </w:r>
          </w:p>
          <w:p w14:paraId="67E7808E" w14:textId="77777777" w:rsidR="00236044" w:rsidRDefault="00236044" w:rsidP="005F4611">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5F4611">
            <w:pPr>
              <w:spacing w:after="0"/>
            </w:pPr>
          </w:p>
        </w:tc>
        <w:tc>
          <w:tcPr>
            <w:tcW w:w="1439" w:type="dxa"/>
          </w:tcPr>
          <w:p w14:paraId="079B0E07" w14:textId="77777777" w:rsidR="00236044" w:rsidRDefault="00236044" w:rsidP="005F4611">
            <w:pPr>
              <w:spacing w:after="0"/>
            </w:pPr>
          </w:p>
        </w:tc>
      </w:tr>
      <w:tr w:rsidR="00236044" w14:paraId="62AD3D1F" w14:textId="77777777" w:rsidTr="00BE33E9">
        <w:trPr>
          <w:cantSplit/>
          <w:trHeight w:val="755"/>
        </w:trPr>
        <w:tc>
          <w:tcPr>
            <w:tcW w:w="7914" w:type="dxa"/>
          </w:tcPr>
          <w:p w14:paraId="60916D9A" w14:textId="77777777" w:rsidR="00236044" w:rsidRDefault="00236044" w:rsidP="005F4611">
            <w:pPr>
              <w:spacing w:after="0"/>
            </w:pPr>
            <w:r>
              <w:t>Math (4cr) Requirement (choose one):</w:t>
            </w:r>
          </w:p>
          <w:p w14:paraId="4626A727" w14:textId="77777777" w:rsidR="00236044" w:rsidRDefault="00236044" w:rsidP="005F4611">
            <w:pPr>
              <w:spacing w:after="0"/>
            </w:pPr>
            <w:r>
              <w:t>MAT 155, MAT 160, MAT 170, MAT 201, MAT 225, MAT 260, MAT 261</w:t>
            </w:r>
          </w:p>
        </w:tc>
        <w:tc>
          <w:tcPr>
            <w:tcW w:w="1439" w:type="dxa"/>
          </w:tcPr>
          <w:p w14:paraId="53E766D2" w14:textId="77777777" w:rsidR="00236044" w:rsidRDefault="00236044" w:rsidP="005F4611">
            <w:pPr>
              <w:spacing w:after="0"/>
            </w:pPr>
          </w:p>
        </w:tc>
        <w:tc>
          <w:tcPr>
            <w:tcW w:w="1439" w:type="dxa"/>
          </w:tcPr>
          <w:p w14:paraId="6F607674" w14:textId="77777777" w:rsidR="00236044" w:rsidRDefault="00236044" w:rsidP="005F4611">
            <w:pPr>
              <w:spacing w:after="0"/>
            </w:pPr>
          </w:p>
        </w:tc>
      </w:tr>
    </w:tbl>
    <w:p w14:paraId="2B0EA734" w14:textId="77777777" w:rsidR="00236044" w:rsidRPr="00BF7739" w:rsidRDefault="00236044" w:rsidP="005F4611">
      <w:pPr>
        <w:spacing w:after="0"/>
      </w:pPr>
    </w:p>
    <w:p w14:paraId="6C3140AB" w14:textId="77777777" w:rsidR="00236044" w:rsidRPr="00752C28" w:rsidRDefault="00236044" w:rsidP="005F4611">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5F4611">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5F4611">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5F4611">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5F4611">
            <w:pPr>
              <w:spacing w:after="0"/>
            </w:pPr>
            <w:r>
              <w:t>AWR 201 (4cr) – Writing and Research: The Local and the Global</w:t>
            </w:r>
          </w:p>
          <w:p w14:paraId="20E8B9D5" w14:textId="77777777" w:rsidR="00236044" w:rsidRPr="00E415F7" w:rsidRDefault="00236044" w:rsidP="005F4611">
            <w:pPr>
              <w:spacing w:after="0"/>
              <w:rPr>
                <w:i/>
                <w:iCs/>
              </w:rPr>
            </w:pPr>
            <w:r>
              <w:rPr>
                <w:i/>
                <w:iCs/>
              </w:rPr>
              <w:t>Pre-requisite (one of the following): AWR 101, AWR 110, or equivalent</w:t>
            </w:r>
          </w:p>
        </w:tc>
        <w:tc>
          <w:tcPr>
            <w:tcW w:w="1388" w:type="dxa"/>
          </w:tcPr>
          <w:p w14:paraId="1B2DEA1C" w14:textId="77777777" w:rsidR="00236044" w:rsidRDefault="00236044" w:rsidP="005F4611">
            <w:pPr>
              <w:spacing w:after="0"/>
            </w:pPr>
          </w:p>
        </w:tc>
        <w:tc>
          <w:tcPr>
            <w:tcW w:w="1435" w:type="dxa"/>
          </w:tcPr>
          <w:p w14:paraId="4B7B03D2" w14:textId="77777777" w:rsidR="00236044" w:rsidRDefault="00236044" w:rsidP="005F4611">
            <w:pPr>
              <w:spacing w:after="0"/>
            </w:pPr>
          </w:p>
        </w:tc>
      </w:tr>
      <w:tr w:rsidR="00236044" w14:paraId="6F489681" w14:textId="77777777" w:rsidTr="00D3047A">
        <w:trPr>
          <w:cantSplit/>
        </w:trPr>
        <w:tc>
          <w:tcPr>
            <w:tcW w:w="0" w:type="auto"/>
          </w:tcPr>
          <w:p w14:paraId="609F8319" w14:textId="3CD857CB" w:rsidR="00236044" w:rsidRPr="0000459F" w:rsidRDefault="00AD1F91" w:rsidP="005F4611">
            <w:pPr>
              <w:spacing w:after="0"/>
            </w:pPr>
            <w:hyperlink r:id="rId7" w:tooltip="Core Humanities" w:history="1">
              <w:r w:rsidR="00236044" w:rsidRPr="00C77DEC">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5F4611">
            <w:pPr>
              <w:spacing w:after="0"/>
            </w:pPr>
          </w:p>
        </w:tc>
        <w:tc>
          <w:tcPr>
            <w:tcW w:w="1435" w:type="dxa"/>
          </w:tcPr>
          <w:p w14:paraId="46DB89F7" w14:textId="77777777" w:rsidR="00236044" w:rsidRDefault="00236044" w:rsidP="005F4611">
            <w:pPr>
              <w:spacing w:after="0"/>
            </w:pPr>
          </w:p>
        </w:tc>
      </w:tr>
      <w:tr w:rsidR="00236044" w14:paraId="4268BD60" w14:textId="77777777" w:rsidTr="00D3047A">
        <w:trPr>
          <w:cantSplit/>
        </w:trPr>
        <w:tc>
          <w:tcPr>
            <w:tcW w:w="0" w:type="auto"/>
          </w:tcPr>
          <w:p w14:paraId="4EC2C188" w14:textId="1081BD01" w:rsidR="00236044" w:rsidRDefault="00AD1F91" w:rsidP="005F4611">
            <w:pPr>
              <w:spacing w:after="0"/>
            </w:pPr>
            <w:hyperlink r:id="rId8" w:tooltip="Core Social Science" w:history="1">
              <w:r w:rsidR="00236044" w:rsidRPr="00C77DEC">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5F4611">
            <w:pPr>
              <w:spacing w:after="0"/>
            </w:pPr>
          </w:p>
        </w:tc>
        <w:tc>
          <w:tcPr>
            <w:tcW w:w="1435" w:type="dxa"/>
          </w:tcPr>
          <w:p w14:paraId="04F4E7AE" w14:textId="77777777" w:rsidR="00236044" w:rsidRDefault="00236044" w:rsidP="005F4611">
            <w:pPr>
              <w:spacing w:after="0"/>
            </w:pPr>
          </w:p>
        </w:tc>
      </w:tr>
      <w:tr w:rsidR="00236044" w14:paraId="4EB67A59" w14:textId="77777777" w:rsidTr="00D3047A">
        <w:trPr>
          <w:cantSplit/>
        </w:trPr>
        <w:tc>
          <w:tcPr>
            <w:tcW w:w="0" w:type="auto"/>
          </w:tcPr>
          <w:p w14:paraId="4735EA6F" w14:textId="77777777" w:rsidR="00236044" w:rsidRDefault="00236044" w:rsidP="005F4611">
            <w:pPr>
              <w:spacing w:after="0"/>
            </w:pPr>
            <w:r>
              <w:t>UTAMPA 200 (1cr) Digital Literacy: Coding</w:t>
            </w:r>
          </w:p>
          <w:p w14:paraId="7A6F8700" w14:textId="77777777" w:rsidR="00236044" w:rsidRDefault="00236044" w:rsidP="005F4611">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5F4611">
            <w:pPr>
              <w:spacing w:after="0"/>
            </w:pPr>
          </w:p>
        </w:tc>
        <w:tc>
          <w:tcPr>
            <w:tcW w:w="1435" w:type="dxa"/>
          </w:tcPr>
          <w:p w14:paraId="0F4E6CF4" w14:textId="77777777" w:rsidR="00236044" w:rsidRDefault="00236044" w:rsidP="005F4611">
            <w:pPr>
              <w:spacing w:after="0"/>
            </w:pPr>
          </w:p>
        </w:tc>
      </w:tr>
      <w:tr w:rsidR="00236044" w14:paraId="2E087922" w14:textId="77777777" w:rsidTr="00D3047A">
        <w:trPr>
          <w:cantSplit/>
        </w:trPr>
        <w:tc>
          <w:tcPr>
            <w:tcW w:w="0" w:type="auto"/>
          </w:tcPr>
          <w:p w14:paraId="49807A87" w14:textId="77777777" w:rsidR="00236044" w:rsidRDefault="00236044" w:rsidP="005F4611">
            <w:pPr>
              <w:spacing w:after="0"/>
            </w:pPr>
            <w:r>
              <w:t>UTAMPA 201 (0cr) Career Readiness</w:t>
            </w:r>
          </w:p>
          <w:p w14:paraId="60E970D9" w14:textId="77777777" w:rsidR="00236044" w:rsidRDefault="00236044" w:rsidP="005F4611">
            <w:pPr>
              <w:spacing w:after="0"/>
            </w:pPr>
          </w:p>
        </w:tc>
        <w:tc>
          <w:tcPr>
            <w:tcW w:w="1388" w:type="dxa"/>
          </w:tcPr>
          <w:p w14:paraId="769B0C92" w14:textId="77777777" w:rsidR="00236044" w:rsidRDefault="00236044" w:rsidP="005F4611">
            <w:pPr>
              <w:spacing w:after="0"/>
            </w:pPr>
          </w:p>
        </w:tc>
        <w:tc>
          <w:tcPr>
            <w:tcW w:w="1435" w:type="dxa"/>
          </w:tcPr>
          <w:p w14:paraId="353E31C7" w14:textId="77777777" w:rsidR="00236044" w:rsidRDefault="00236044" w:rsidP="005F4611">
            <w:pPr>
              <w:spacing w:after="0"/>
            </w:pPr>
          </w:p>
        </w:tc>
      </w:tr>
      <w:tr w:rsidR="00236044" w14:paraId="13BC7C92" w14:textId="77777777" w:rsidTr="00D3047A">
        <w:trPr>
          <w:cantSplit/>
        </w:trPr>
        <w:tc>
          <w:tcPr>
            <w:tcW w:w="0" w:type="auto"/>
          </w:tcPr>
          <w:p w14:paraId="161BDF07" w14:textId="77777777" w:rsidR="00236044" w:rsidRDefault="00236044" w:rsidP="005F4611">
            <w:pPr>
              <w:spacing w:after="0"/>
            </w:pPr>
            <w:r>
              <w:t>Spartan Studies Culminating Experience (4cr)</w:t>
            </w:r>
          </w:p>
          <w:p w14:paraId="4647C292" w14:textId="77777777" w:rsidR="00236044" w:rsidRDefault="00236044" w:rsidP="005F4611">
            <w:pPr>
              <w:spacing w:after="0"/>
            </w:pPr>
            <w:r>
              <w:t>– must be taken in residency</w:t>
            </w:r>
          </w:p>
          <w:p w14:paraId="4A002944" w14:textId="276D30BF" w:rsidR="00236044" w:rsidRPr="0000459F" w:rsidRDefault="00236044" w:rsidP="005F4611">
            <w:pPr>
              <w:spacing w:after="0"/>
              <w:rPr>
                <w:i/>
                <w:iCs/>
              </w:rPr>
            </w:pPr>
            <w:r>
              <w:rPr>
                <w:i/>
                <w:iCs/>
              </w:rPr>
              <w:t xml:space="preserve">Pre-requisite: </w:t>
            </w:r>
            <w:r w:rsidR="00AD1F91" w:rsidRPr="00AD1F91">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5F4611">
            <w:pPr>
              <w:spacing w:after="0"/>
            </w:pPr>
          </w:p>
        </w:tc>
        <w:tc>
          <w:tcPr>
            <w:tcW w:w="1435" w:type="dxa"/>
          </w:tcPr>
          <w:p w14:paraId="2B45117C" w14:textId="77777777" w:rsidR="00236044" w:rsidRDefault="00236044" w:rsidP="005F4611">
            <w:pPr>
              <w:spacing w:after="0"/>
            </w:pPr>
          </w:p>
        </w:tc>
      </w:tr>
    </w:tbl>
    <w:p w14:paraId="4103B233" w14:textId="77777777" w:rsidR="00236044" w:rsidRPr="00BF7739" w:rsidRDefault="00236044" w:rsidP="005F4611">
      <w:pPr>
        <w:spacing w:after="0"/>
      </w:pPr>
    </w:p>
    <w:p w14:paraId="45D81B1B" w14:textId="77777777" w:rsidR="00236044" w:rsidRPr="00752C28" w:rsidRDefault="00236044" w:rsidP="005F4611">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5F4611">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5F4611">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5F4611">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5F4611">
            <w:pPr>
              <w:spacing w:after="0"/>
              <w:rPr>
                <w:b/>
                <w:bCs/>
              </w:rPr>
            </w:pPr>
            <w:r w:rsidRPr="00D421C1">
              <w:rPr>
                <w:b/>
                <w:bCs/>
              </w:rPr>
              <w:t>Semester Taken</w:t>
            </w:r>
          </w:p>
        </w:tc>
      </w:tr>
      <w:tr w:rsidR="00236044" w14:paraId="41D888CD" w14:textId="77777777" w:rsidTr="00D3047A">
        <w:trPr>
          <w:cantSplit/>
        </w:trPr>
        <w:tc>
          <w:tcPr>
            <w:tcW w:w="3617" w:type="pct"/>
          </w:tcPr>
          <w:p w14:paraId="5481C7D9" w14:textId="773BBDD4" w:rsidR="00236044" w:rsidRPr="00EA6BBF" w:rsidRDefault="00AD1F91" w:rsidP="005F4611">
            <w:pPr>
              <w:spacing w:after="0"/>
              <w:rPr>
                <w:rStyle w:val="Hyperlink"/>
                <w:color w:val="auto"/>
                <w:u w:val="none"/>
              </w:rPr>
            </w:pPr>
            <w:hyperlink r:id="rId9" w:tooltip="Social or Behavioral Science" w:history="1">
              <w:r w:rsidR="00236044" w:rsidRPr="00C77DEC">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5F4611">
            <w:pPr>
              <w:spacing w:after="0"/>
            </w:pPr>
          </w:p>
        </w:tc>
        <w:tc>
          <w:tcPr>
            <w:tcW w:w="671" w:type="pct"/>
          </w:tcPr>
          <w:p w14:paraId="596BD3E6" w14:textId="61237672" w:rsidR="00236044" w:rsidRDefault="00236044" w:rsidP="005F4611">
            <w:pPr>
              <w:spacing w:after="0"/>
            </w:pPr>
          </w:p>
        </w:tc>
        <w:tc>
          <w:tcPr>
            <w:tcW w:w="712" w:type="pct"/>
          </w:tcPr>
          <w:p w14:paraId="18AD0D00" w14:textId="77777777" w:rsidR="00236044" w:rsidRDefault="00236044" w:rsidP="005F4611">
            <w:pPr>
              <w:spacing w:after="0"/>
            </w:pPr>
          </w:p>
        </w:tc>
      </w:tr>
      <w:tr w:rsidR="00236044" w14:paraId="5E528453" w14:textId="77777777" w:rsidTr="00D3047A">
        <w:trPr>
          <w:cantSplit/>
        </w:trPr>
        <w:tc>
          <w:tcPr>
            <w:tcW w:w="3617" w:type="pct"/>
          </w:tcPr>
          <w:p w14:paraId="2B04E51C" w14:textId="6BEBEBE2" w:rsidR="00236044" w:rsidRPr="00EA6BBF" w:rsidRDefault="00AD1F91" w:rsidP="005F4611">
            <w:pPr>
              <w:spacing w:after="0"/>
              <w:rPr>
                <w:rStyle w:val="Hyperlink"/>
                <w:color w:val="auto"/>
                <w:u w:val="none"/>
              </w:rPr>
            </w:pPr>
            <w:hyperlink r:id="rId10" w:tooltip="Visual and Performing Arts" w:history="1">
              <w:r w:rsidR="00236044" w:rsidRPr="00C77DEC">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5F4611">
            <w:pPr>
              <w:spacing w:after="0"/>
            </w:pPr>
          </w:p>
        </w:tc>
        <w:tc>
          <w:tcPr>
            <w:tcW w:w="671" w:type="pct"/>
          </w:tcPr>
          <w:p w14:paraId="336316A1" w14:textId="77777777" w:rsidR="00236044" w:rsidRDefault="00236044" w:rsidP="005F4611">
            <w:pPr>
              <w:spacing w:after="0"/>
            </w:pPr>
          </w:p>
        </w:tc>
        <w:tc>
          <w:tcPr>
            <w:tcW w:w="712" w:type="pct"/>
          </w:tcPr>
          <w:p w14:paraId="7B67F5ED" w14:textId="77777777" w:rsidR="00236044" w:rsidRDefault="00236044" w:rsidP="005F4611">
            <w:pPr>
              <w:spacing w:after="0"/>
            </w:pPr>
          </w:p>
        </w:tc>
      </w:tr>
      <w:tr w:rsidR="00236044" w14:paraId="510C323E" w14:textId="77777777" w:rsidTr="00D3047A">
        <w:trPr>
          <w:cantSplit/>
        </w:trPr>
        <w:tc>
          <w:tcPr>
            <w:tcW w:w="3617" w:type="pct"/>
          </w:tcPr>
          <w:p w14:paraId="1EAB4E7A" w14:textId="518841C7" w:rsidR="00236044" w:rsidRDefault="00AD1F91" w:rsidP="005F4611">
            <w:pPr>
              <w:spacing w:after="0"/>
            </w:pPr>
            <w:hyperlink r:id="rId11" w:tooltip="Text-Based Humanities" w:history="1">
              <w:r w:rsidR="00236044" w:rsidRPr="00C77DEC">
                <w:rPr>
                  <w:rStyle w:val="Hyperlink"/>
                  <w:color w:val="0000FF"/>
                </w:rPr>
                <w:t>Text-Based Humanities</w:t>
              </w:r>
            </w:hyperlink>
            <w:r w:rsidR="00236044">
              <w:t xml:space="preserve"> (4cr)</w:t>
            </w:r>
          </w:p>
          <w:p w14:paraId="2CEE6E7F" w14:textId="77777777" w:rsidR="00236044" w:rsidRDefault="00236044" w:rsidP="005F4611">
            <w:pPr>
              <w:spacing w:after="0"/>
            </w:pPr>
          </w:p>
        </w:tc>
        <w:tc>
          <w:tcPr>
            <w:tcW w:w="671" w:type="pct"/>
          </w:tcPr>
          <w:p w14:paraId="5211BF40" w14:textId="52DA738B" w:rsidR="00236044" w:rsidRDefault="00236044" w:rsidP="005F4611">
            <w:pPr>
              <w:spacing w:after="0"/>
            </w:pPr>
          </w:p>
        </w:tc>
        <w:tc>
          <w:tcPr>
            <w:tcW w:w="712" w:type="pct"/>
          </w:tcPr>
          <w:p w14:paraId="0DE2CE2C" w14:textId="77777777" w:rsidR="00236044" w:rsidRDefault="00236044" w:rsidP="005F4611">
            <w:pPr>
              <w:spacing w:after="0"/>
            </w:pPr>
          </w:p>
        </w:tc>
      </w:tr>
      <w:tr w:rsidR="00236044" w14:paraId="5BD8224A" w14:textId="77777777" w:rsidTr="00D3047A">
        <w:trPr>
          <w:cantSplit/>
        </w:trPr>
        <w:tc>
          <w:tcPr>
            <w:tcW w:w="3617" w:type="pct"/>
          </w:tcPr>
          <w:p w14:paraId="5BF06092" w14:textId="5774D3A3" w:rsidR="00236044" w:rsidRDefault="00AD1F91" w:rsidP="005F4611">
            <w:pPr>
              <w:spacing w:after="0"/>
            </w:pPr>
            <w:hyperlink r:id="rId12" w:tooltip="Natural Science" w:history="1">
              <w:r w:rsidR="00236044" w:rsidRPr="00C77DEC">
                <w:rPr>
                  <w:rStyle w:val="Hyperlink"/>
                  <w:color w:val="0000FF"/>
                </w:rPr>
                <w:t>Natural Science</w:t>
              </w:r>
            </w:hyperlink>
            <w:r w:rsidR="00236044">
              <w:t xml:space="preserve"> (4cr)</w:t>
            </w:r>
          </w:p>
          <w:p w14:paraId="2FB59808" w14:textId="77777777" w:rsidR="00236044" w:rsidRDefault="00236044" w:rsidP="005F4611">
            <w:pPr>
              <w:spacing w:after="0"/>
            </w:pPr>
          </w:p>
        </w:tc>
        <w:tc>
          <w:tcPr>
            <w:tcW w:w="671" w:type="pct"/>
          </w:tcPr>
          <w:p w14:paraId="64964053" w14:textId="77777777" w:rsidR="00236044" w:rsidRDefault="00236044" w:rsidP="005F4611">
            <w:pPr>
              <w:spacing w:after="0"/>
            </w:pPr>
          </w:p>
        </w:tc>
        <w:tc>
          <w:tcPr>
            <w:tcW w:w="712" w:type="pct"/>
          </w:tcPr>
          <w:p w14:paraId="732E8CB0" w14:textId="77777777" w:rsidR="00236044" w:rsidRDefault="00236044" w:rsidP="005F4611">
            <w:pPr>
              <w:spacing w:after="0"/>
            </w:pPr>
          </w:p>
        </w:tc>
      </w:tr>
    </w:tbl>
    <w:p w14:paraId="382ADF62" w14:textId="77777777" w:rsidR="00236044" w:rsidRDefault="00236044" w:rsidP="005F4611">
      <w:pPr>
        <w:spacing w:after="0"/>
      </w:pPr>
    </w:p>
    <w:p w14:paraId="1542FE5D" w14:textId="2B33E8B8" w:rsidR="00236044" w:rsidRDefault="00F26A74" w:rsidP="005F4611">
      <w:pPr>
        <w:pStyle w:val="Heading2"/>
        <w:spacing w:before="0"/>
      </w:pPr>
      <w:r>
        <w:t>Spanish</w:t>
      </w:r>
      <w:r w:rsidR="00236044">
        <w:t xml:space="preserve"> Requirements (</w:t>
      </w:r>
      <w:r>
        <w:t>4</w:t>
      </w:r>
      <w:r w:rsidR="0078687A">
        <w:t>2</w:t>
      </w:r>
      <w:r w:rsidR="00236044">
        <w:t xml:space="preserve"> Credits)</w:t>
      </w:r>
    </w:p>
    <w:p w14:paraId="4625031C" w14:textId="7D654ED4" w:rsidR="00236044" w:rsidRPr="00752C28" w:rsidRDefault="00F26A74" w:rsidP="005F4611">
      <w:pPr>
        <w:pStyle w:val="Heading3"/>
        <w:spacing w:before="0" w:after="0"/>
        <w:rPr>
          <w:sz w:val="24"/>
          <w:szCs w:val="28"/>
        </w:rPr>
      </w:pPr>
      <w:r>
        <w:rPr>
          <w:sz w:val="24"/>
          <w:szCs w:val="28"/>
        </w:rPr>
        <w:t>Spanish</w:t>
      </w:r>
      <w:r w:rsidR="00BE33E9">
        <w:rPr>
          <w:sz w:val="24"/>
          <w:szCs w:val="28"/>
        </w:rPr>
        <w:t xml:space="preserve"> Core</w:t>
      </w:r>
      <w:r w:rsidR="00236044" w:rsidRPr="00752C28">
        <w:rPr>
          <w:sz w:val="24"/>
          <w:szCs w:val="28"/>
        </w:rPr>
        <w:t xml:space="preserve"> Requirement</w:t>
      </w:r>
      <w:r>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4E17F590" w:rsidR="00236044" w:rsidRPr="00D421C1" w:rsidRDefault="00F26A74" w:rsidP="005F4611">
            <w:pPr>
              <w:spacing w:after="0"/>
              <w:rPr>
                <w:b/>
                <w:bCs/>
              </w:rPr>
            </w:pPr>
            <w:r>
              <w:rPr>
                <w:b/>
                <w:bCs/>
              </w:rPr>
              <w:t>Spanish</w:t>
            </w:r>
            <w:r w:rsidR="00BE33E9">
              <w:rPr>
                <w:b/>
                <w:bCs/>
              </w:rPr>
              <w:t xml:space="preserve"> </w:t>
            </w:r>
            <w:r w:rsidR="00236044">
              <w:rPr>
                <w:b/>
                <w:bCs/>
              </w:rPr>
              <w:t>Core Requirement</w:t>
            </w:r>
            <w:r>
              <w:rPr>
                <w:b/>
                <w:bCs/>
              </w:rPr>
              <w:t>s</w:t>
            </w:r>
            <w:r w:rsidR="00F8094A">
              <w:rPr>
                <w:b/>
                <w:bCs/>
              </w:rPr>
              <w:t xml:space="preserve"> (</w:t>
            </w:r>
            <w:r w:rsidR="00BE33E9">
              <w:rPr>
                <w:b/>
                <w:bCs/>
              </w:rPr>
              <w:t>1</w:t>
            </w:r>
            <w:r w:rsidR="00731A4B">
              <w:rPr>
                <w:b/>
                <w:bCs/>
              </w:rPr>
              <w:t>8</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5F4611">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5F4611">
            <w:pPr>
              <w:spacing w:after="0"/>
              <w:rPr>
                <w:b/>
                <w:bCs/>
              </w:rPr>
            </w:pPr>
            <w:r w:rsidRPr="00D421C1">
              <w:rPr>
                <w:b/>
                <w:bCs/>
              </w:rPr>
              <w:t>Semester Taken</w:t>
            </w:r>
          </w:p>
        </w:tc>
      </w:tr>
      <w:tr w:rsidR="00236044" w:rsidRPr="00597CC6" w14:paraId="3A8EAFE3" w14:textId="77777777" w:rsidTr="00F8094A">
        <w:trPr>
          <w:cantSplit/>
        </w:trPr>
        <w:tc>
          <w:tcPr>
            <w:tcW w:w="3617" w:type="pct"/>
          </w:tcPr>
          <w:p w14:paraId="0F443142" w14:textId="77777777" w:rsidR="00BE33E9" w:rsidRDefault="0090000B" w:rsidP="005F4611">
            <w:pPr>
              <w:spacing w:after="0"/>
              <w:rPr>
                <w:rFonts w:cstheme="minorHAnsi"/>
              </w:rPr>
            </w:pPr>
            <w:r>
              <w:rPr>
                <w:rFonts w:cstheme="minorHAnsi"/>
              </w:rPr>
              <w:t>SPA 421 (4cr) – Spanish Culture and Civilization I (1)</w:t>
            </w:r>
          </w:p>
          <w:p w14:paraId="1DD42B03" w14:textId="46D55098" w:rsidR="005F4611"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p w14:paraId="7C9DE2BA" w14:textId="30784F75" w:rsidR="0090000B" w:rsidRDefault="0090000B" w:rsidP="005F4611">
            <w:pPr>
              <w:spacing w:after="0"/>
              <w:rPr>
                <w:rFonts w:cstheme="minorHAnsi"/>
              </w:rPr>
            </w:pPr>
            <w:r>
              <w:rPr>
                <w:rFonts w:cstheme="minorHAnsi"/>
              </w:rPr>
              <w:t>or SPA 422 (4cr) – Latin American Civilization and Culture</w:t>
            </w:r>
          </w:p>
          <w:p w14:paraId="092F46C2" w14:textId="26B86DE3" w:rsidR="0090000B"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tc>
        <w:tc>
          <w:tcPr>
            <w:tcW w:w="671" w:type="pct"/>
          </w:tcPr>
          <w:p w14:paraId="75BA3513" w14:textId="77777777" w:rsidR="00236044" w:rsidRPr="006A68B8" w:rsidRDefault="00236044" w:rsidP="005F4611">
            <w:pPr>
              <w:spacing w:after="0"/>
              <w:rPr>
                <w:rFonts w:cstheme="minorHAnsi"/>
              </w:rPr>
            </w:pPr>
          </w:p>
        </w:tc>
        <w:tc>
          <w:tcPr>
            <w:tcW w:w="712" w:type="pct"/>
          </w:tcPr>
          <w:p w14:paraId="03930760" w14:textId="77777777" w:rsidR="00236044" w:rsidRPr="006A68B8" w:rsidRDefault="00236044" w:rsidP="005F4611">
            <w:pPr>
              <w:spacing w:after="0"/>
              <w:rPr>
                <w:rFonts w:cstheme="minorHAnsi"/>
              </w:rPr>
            </w:pPr>
          </w:p>
        </w:tc>
      </w:tr>
      <w:tr w:rsidR="00236044" w:rsidRPr="00597CC6" w14:paraId="3490212D" w14:textId="77777777" w:rsidTr="00F8094A">
        <w:trPr>
          <w:cantSplit/>
        </w:trPr>
        <w:tc>
          <w:tcPr>
            <w:tcW w:w="3617" w:type="pct"/>
          </w:tcPr>
          <w:p w14:paraId="0A7AF64F" w14:textId="77777777" w:rsidR="00BE33E9" w:rsidRDefault="0090000B" w:rsidP="005F4611">
            <w:pPr>
              <w:spacing w:after="0"/>
              <w:rPr>
                <w:rFonts w:cstheme="minorHAnsi"/>
              </w:rPr>
            </w:pPr>
            <w:r>
              <w:rPr>
                <w:rFonts w:cstheme="minorHAnsi"/>
              </w:rPr>
              <w:t>SPA 431 (4cr) – Spanish Literature through the Golden Age</w:t>
            </w:r>
          </w:p>
          <w:p w14:paraId="7FE24CE8" w14:textId="4F56E23F" w:rsidR="005F4611"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p w14:paraId="27B4CF10" w14:textId="4733FCC4" w:rsidR="0090000B" w:rsidRDefault="0090000B" w:rsidP="005F4611">
            <w:pPr>
              <w:spacing w:after="0"/>
              <w:rPr>
                <w:rFonts w:cstheme="minorHAnsi"/>
              </w:rPr>
            </w:pPr>
            <w:r>
              <w:rPr>
                <w:rFonts w:cstheme="minorHAnsi"/>
              </w:rPr>
              <w:t>or SPA 432 (4cr) – Spanish Literature from the 19</w:t>
            </w:r>
            <w:r w:rsidRPr="0090000B">
              <w:rPr>
                <w:rFonts w:cstheme="minorHAnsi"/>
                <w:vertAlign w:val="superscript"/>
              </w:rPr>
              <w:t>th</w:t>
            </w:r>
            <w:r>
              <w:rPr>
                <w:rFonts w:cstheme="minorHAnsi"/>
              </w:rPr>
              <w:t xml:space="preserve"> Century until Today</w:t>
            </w:r>
          </w:p>
          <w:p w14:paraId="5272ED53" w14:textId="52377CBA" w:rsidR="0090000B" w:rsidRPr="005F4611" w:rsidRDefault="005F4611" w:rsidP="005F4611">
            <w:pPr>
              <w:spacing w:after="0"/>
              <w:rPr>
                <w:rFonts w:cstheme="minorHAnsi"/>
                <w:i/>
                <w:iCs/>
              </w:rPr>
            </w:pPr>
            <w:r>
              <w:rPr>
                <w:rFonts w:cstheme="minorHAnsi"/>
                <w:i/>
                <w:iCs/>
              </w:rPr>
              <w:t xml:space="preserve">Pre-requisite: </w:t>
            </w:r>
            <w:r w:rsidRPr="005F4611">
              <w:rPr>
                <w:rFonts w:cstheme="minorHAnsi"/>
                <w:i/>
                <w:iCs/>
              </w:rPr>
              <w:t>Two 300-level Spanish courses, equivalent skills, or consent of instructor.</w:t>
            </w:r>
          </w:p>
        </w:tc>
        <w:tc>
          <w:tcPr>
            <w:tcW w:w="671" w:type="pct"/>
          </w:tcPr>
          <w:p w14:paraId="1E0779B2" w14:textId="77777777" w:rsidR="00236044" w:rsidRPr="006A68B8" w:rsidRDefault="00236044" w:rsidP="005F4611">
            <w:pPr>
              <w:spacing w:after="0"/>
              <w:rPr>
                <w:rFonts w:cstheme="minorHAnsi"/>
              </w:rPr>
            </w:pPr>
          </w:p>
        </w:tc>
        <w:tc>
          <w:tcPr>
            <w:tcW w:w="712" w:type="pct"/>
          </w:tcPr>
          <w:p w14:paraId="1FD474C3" w14:textId="77777777" w:rsidR="00236044" w:rsidRPr="006A68B8" w:rsidRDefault="00236044" w:rsidP="005F4611">
            <w:pPr>
              <w:spacing w:after="0"/>
              <w:rPr>
                <w:rFonts w:cstheme="minorHAnsi"/>
              </w:rPr>
            </w:pPr>
          </w:p>
        </w:tc>
      </w:tr>
      <w:tr w:rsidR="00236044" w:rsidRPr="00597CC6" w14:paraId="1CA559F2" w14:textId="77777777" w:rsidTr="00F8094A">
        <w:trPr>
          <w:cantSplit/>
        </w:trPr>
        <w:tc>
          <w:tcPr>
            <w:tcW w:w="3617" w:type="pct"/>
          </w:tcPr>
          <w:p w14:paraId="64E632C6" w14:textId="77777777" w:rsidR="00BE33E9" w:rsidRDefault="0090000B" w:rsidP="005F4611">
            <w:pPr>
              <w:spacing w:after="0"/>
              <w:rPr>
                <w:rFonts w:cstheme="minorHAnsi"/>
              </w:rPr>
            </w:pPr>
            <w:r>
              <w:rPr>
                <w:rFonts w:cstheme="minorHAnsi"/>
              </w:rPr>
              <w:t>SPA 435 (4cr) – Latin American Literature</w:t>
            </w:r>
          </w:p>
          <w:p w14:paraId="77380367" w14:textId="7C55DCD3" w:rsidR="005F4611"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Two 300-level Spanish courses, equivalent skills, or consent of instructor.</w:t>
            </w:r>
          </w:p>
          <w:p w14:paraId="4400D622" w14:textId="08EC1D5D" w:rsidR="0090000B" w:rsidRDefault="0090000B" w:rsidP="005F4611">
            <w:pPr>
              <w:spacing w:after="0"/>
              <w:rPr>
                <w:rFonts w:cstheme="minorHAnsi"/>
              </w:rPr>
            </w:pPr>
            <w:r>
              <w:rPr>
                <w:rFonts w:cstheme="minorHAnsi"/>
              </w:rPr>
              <w:t>or SPA 436 (4cr) – The Latin American Novel</w:t>
            </w:r>
          </w:p>
          <w:p w14:paraId="244F3ADF" w14:textId="694F30EC" w:rsidR="0090000B"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Two 300-level Spanish courses, equivalent skills, or consent of instructor.</w:t>
            </w:r>
          </w:p>
        </w:tc>
        <w:tc>
          <w:tcPr>
            <w:tcW w:w="671" w:type="pct"/>
          </w:tcPr>
          <w:p w14:paraId="0E9252CF" w14:textId="77777777" w:rsidR="00236044" w:rsidRPr="006A68B8" w:rsidRDefault="00236044" w:rsidP="005F4611">
            <w:pPr>
              <w:spacing w:after="0"/>
              <w:rPr>
                <w:rFonts w:cstheme="minorHAnsi"/>
              </w:rPr>
            </w:pPr>
          </w:p>
        </w:tc>
        <w:tc>
          <w:tcPr>
            <w:tcW w:w="712" w:type="pct"/>
          </w:tcPr>
          <w:p w14:paraId="1E7F81DA" w14:textId="77777777" w:rsidR="00236044" w:rsidRPr="006A68B8" w:rsidRDefault="00236044" w:rsidP="005F4611">
            <w:pPr>
              <w:spacing w:after="0"/>
              <w:rPr>
                <w:rFonts w:cstheme="minorHAnsi"/>
              </w:rPr>
            </w:pPr>
          </w:p>
        </w:tc>
      </w:tr>
      <w:tr w:rsidR="00236044" w:rsidRPr="00597CC6" w14:paraId="36701984" w14:textId="77777777" w:rsidTr="00F8094A">
        <w:trPr>
          <w:cantSplit/>
        </w:trPr>
        <w:tc>
          <w:tcPr>
            <w:tcW w:w="3617" w:type="pct"/>
          </w:tcPr>
          <w:p w14:paraId="6AA35BB7" w14:textId="77777777" w:rsidR="00BE33E9" w:rsidRDefault="0090000B" w:rsidP="005F4611">
            <w:pPr>
              <w:spacing w:after="0"/>
              <w:rPr>
                <w:rFonts w:cstheme="minorHAnsi"/>
              </w:rPr>
            </w:pPr>
            <w:r>
              <w:rPr>
                <w:rFonts w:cstheme="minorHAnsi"/>
              </w:rPr>
              <w:t>SPA 499 (2cr) – Research Capstone</w:t>
            </w:r>
          </w:p>
          <w:p w14:paraId="39117EC0" w14:textId="418FE448" w:rsidR="0090000B" w:rsidRPr="005F4611" w:rsidRDefault="005F4611" w:rsidP="005F4611">
            <w:pPr>
              <w:spacing w:after="0"/>
              <w:rPr>
                <w:rFonts w:cstheme="minorHAnsi"/>
                <w:i/>
                <w:iCs/>
              </w:rPr>
            </w:pPr>
            <w:r>
              <w:rPr>
                <w:rFonts w:cstheme="minorHAnsi"/>
                <w:i/>
                <w:iCs/>
              </w:rPr>
              <w:t xml:space="preserve">Pre-requisite: </w:t>
            </w:r>
            <w:r w:rsidR="0023383A" w:rsidRPr="0023383A">
              <w:rPr>
                <w:rFonts w:cstheme="minorHAnsi"/>
                <w:i/>
                <w:iCs/>
              </w:rPr>
              <w:t>Spanish majors with Senior status only. Two 400- level Spanish courses or instructor consent.</w:t>
            </w:r>
          </w:p>
        </w:tc>
        <w:tc>
          <w:tcPr>
            <w:tcW w:w="671" w:type="pct"/>
          </w:tcPr>
          <w:p w14:paraId="6F3857E0" w14:textId="77777777" w:rsidR="00236044" w:rsidRPr="006A68B8" w:rsidRDefault="00236044" w:rsidP="005F4611">
            <w:pPr>
              <w:spacing w:after="0"/>
              <w:rPr>
                <w:rFonts w:cstheme="minorHAnsi"/>
              </w:rPr>
            </w:pPr>
          </w:p>
        </w:tc>
        <w:tc>
          <w:tcPr>
            <w:tcW w:w="712" w:type="pct"/>
          </w:tcPr>
          <w:p w14:paraId="5F901B31" w14:textId="77777777" w:rsidR="00236044" w:rsidRPr="006A68B8" w:rsidRDefault="00236044" w:rsidP="005F4611">
            <w:pPr>
              <w:spacing w:after="0"/>
              <w:rPr>
                <w:rFonts w:cstheme="minorHAnsi"/>
              </w:rPr>
            </w:pPr>
          </w:p>
        </w:tc>
      </w:tr>
      <w:tr w:rsidR="0023383A" w:rsidRPr="00597CC6" w14:paraId="37677A1F" w14:textId="77777777" w:rsidTr="00F8094A">
        <w:trPr>
          <w:cantSplit/>
        </w:trPr>
        <w:tc>
          <w:tcPr>
            <w:tcW w:w="3617" w:type="pct"/>
          </w:tcPr>
          <w:p w14:paraId="04DF122C" w14:textId="77777777" w:rsidR="0023383A" w:rsidRDefault="0023383A" w:rsidP="005F4611">
            <w:pPr>
              <w:spacing w:after="0"/>
              <w:rPr>
                <w:rFonts w:cstheme="minorHAnsi"/>
              </w:rPr>
            </w:pPr>
            <w:r>
              <w:rPr>
                <w:rFonts w:cstheme="minorHAnsi"/>
              </w:rPr>
              <w:t>LIN 210 (4cr) – Basic Linguistics</w:t>
            </w:r>
          </w:p>
          <w:p w14:paraId="7C071E1C" w14:textId="5C042887" w:rsidR="0023383A" w:rsidRDefault="0023383A" w:rsidP="005F4611">
            <w:pPr>
              <w:spacing w:after="0"/>
              <w:rPr>
                <w:rFonts w:cstheme="minorHAnsi"/>
              </w:rPr>
            </w:pPr>
            <w:r w:rsidRPr="0023383A">
              <w:rPr>
                <w:rFonts w:cstheme="minorHAnsi"/>
                <w:b/>
                <w:bCs/>
              </w:rPr>
              <w:t xml:space="preserve">or </w:t>
            </w:r>
            <w:r>
              <w:rPr>
                <w:rFonts w:cstheme="minorHAnsi"/>
              </w:rPr>
              <w:t>LIN 320 (4cr) – Introduction to Language Learning</w:t>
            </w:r>
          </w:p>
          <w:p w14:paraId="482D47DE" w14:textId="0F908AFB" w:rsidR="0023383A" w:rsidRDefault="0023383A" w:rsidP="005F4611">
            <w:pPr>
              <w:spacing w:after="0"/>
              <w:rPr>
                <w:rFonts w:cstheme="minorHAnsi"/>
              </w:rPr>
            </w:pPr>
            <w:r w:rsidRPr="0023383A">
              <w:rPr>
                <w:rFonts w:cstheme="minorHAnsi"/>
                <w:b/>
                <w:bCs/>
              </w:rPr>
              <w:t>or</w:t>
            </w:r>
            <w:r>
              <w:rPr>
                <w:rFonts w:cstheme="minorHAnsi"/>
              </w:rPr>
              <w:t xml:space="preserve"> SPA 307 (4cr) – The Structure of Modern Spanish</w:t>
            </w:r>
          </w:p>
          <w:p w14:paraId="0E63E26A" w14:textId="639C0CB8" w:rsidR="0023383A" w:rsidRDefault="0023383A" w:rsidP="005F4611">
            <w:pPr>
              <w:spacing w:after="0"/>
              <w:rPr>
                <w:rFonts w:cstheme="minorHAnsi"/>
              </w:rPr>
            </w:pPr>
            <w:r>
              <w:rPr>
                <w:rFonts w:cstheme="minorHAnsi"/>
                <w:i/>
                <w:iCs/>
              </w:rPr>
              <w:t>Pre-requisite: SPA 202 or consent of instructor</w:t>
            </w:r>
          </w:p>
        </w:tc>
        <w:tc>
          <w:tcPr>
            <w:tcW w:w="671" w:type="pct"/>
          </w:tcPr>
          <w:p w14:paraId="28F1A8DE" w14:textId="77777777" w:rsidR="0023383A" w:rsidRPr="006A68B8" w:rsidRDefault="0023383A" w:rsidP="005F4611">
            <w:pPr>
              <w:spacing w:after="0"/>
              <w:rPr>
                <w:rFonts w:cstheme="minorHAnsi"/>
              </w:rPr>
            </w:pPr>
          </w:p>
        </w:tc>
        <w:tc>
          <w:tcPr>
            <w:tcW w:w="712" w:type="pct"/>
          </w:tcPr>
          <w:p w14:paraId="59E81481" w14:textId="77777777" w:rsidR="0023383A" w:rsidRPr="006A68B8" w:rsidRDefault="0023383A" w:rsidP="005F4611">
            <w:pPr>
              <w:spacing w:after="0"/>
              <w:rPr>
                <w:rFonts w:cstheme="minorHAnsi"/>
              </w:rPr>
            </w:pPr>
          </w:p>
        </w:tc>
      </w:tr>
    </w:tbl>
    <w:p w14:paraId="6F710894" w14:textId="4F65EBCB" w:rsidR="00731A4B" w:rsidRDefault="00731A4B" w:rsidP="005F4611">
      <w:pPr>
        <w:spacing w:after="0"/>
      </w:pPr>
    </w:p>
    <w:p w14:paraId="141397A0" w14:textId="77777777" w:rsidR="00731A4B" w:rsidRDefault="00731A4B">
      <w:pPr>
        <w:spacing w:after="160" w:line="259" w:lineRule="auto"/>
      </w:pPr>
      <w:r>
        <w:br w:type="page"/>
      </w:r>
    </w:p>
    <w:p w14:paraId="56B9E004" w14:textId="093ADC2C" w:rsidR="0090000B" w:rsidRPr="00752C28" w:rsidRDefault="0090000B" w:rsidP="005F4611">
      <w:pPr>
        <w:pStyle w:val="Heading3"/>
        <w:spacing w:before="0" w:after="0"/>
        <w:rPr>
          <w:sz w:val="24"/>
          <w:szCs w:val="28"/>
        </w:rPr>
      </w:pPr>
      <w:r>
        <w:rPr>
          <w:sz w:val="24"/>
          <w:szCs w:val="28"/>
        </w:rPr>
        <w:lastRenderedPageBreak/>
        <w:t>Major Elective</w:t>
      </w:r>
      <w:r w:rsidRPr="00752C28">
        <w:rPr>
          <w:sz w:val="24"/>
          <w:szCs w:val="28"/>
        </w:rPr>
        <w:t xml:space="preserve"> Requirement</w:t>
      </w:r>
      <w:r>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E33E9" w:rsidRPr="00D421C1" w14:paraId="5A2756D3" w14:textId="77777777" w:rsidTr="0074065A">
        <w:trPr>
          <w:cantSplit/>
        </w:trPr>
        <w:tc>
          <w:tcPr>
            <w:tcW w:w="3617" w:type="pct"/>
            <w:shd w:val="clear" w:color="auto" w:fill="D0CECE" w:themeFill="background2" w:themeFillShade="E6"/>
          </w:tcPr>
          <w:p w14:paraId="0F1529D5" w14:textId="77777777" w:rsidR="00BE33E9" w:rsidRDefault="00BE33E9" w:rsidP="005F4611">
            <w:pPr>
              <w:spacing w:after="0"/>
              <w:rPr>
                <w:b/>
                <w:bCs/>
              </w:rPr>
            </w:pPr>
            <w:r>
              <w:rPr>
                <w:b/>
                <w:bCs/>
              </w:rPr>
              <w:t>Major Elective Requirement (16 credits)</w:t>
            </w:r>
          </w:p>
          <w:p w14:paraId="56C19601" w14:textId="79371FBE" w:rsidR="0078687A" w:rsidRPr="0078687A" w:rsidRDefault="005F4611" w:rsidP="005F4611">
            <w:pPr>
              <w:spacing w:after="0"/>
            </w:pPr>
            <w:r w:rsidRPr="005F4611">
              <w:t>Students must complete 24 credit hours from Spanish (SPA/SPT) electives. (Min. 16 credit hours should be 300+ level.)</w:t>
            </w:r>
          </w:p>
        </w:tc>
        <w:tc>
          <w:tcPr>
            <w:tcW w:w="671" w:type="pct"/>
            <w:shd w:val="clear" w:color="auto" w:fill="D0CECE" w:themeFill="background2" w:themeFillShade="E6"/>
          </w:tcPr>
          <w:p w14:paraId="5BA47ECD" w14:textId="77777777" w:rsidR="00BE33E9" w:rsidRPr="00D421C1" w:rsidRDefault="00BE33E9" w:rsidP="005F4611">
            <w:pPr>
              <w:spacing w:after="0"/>
              <w:rPr>
                <w:b/>
                <w:bCs/>
              </w:rPr>
            </w:pPr>
            <w:r w:rsidRPr="00D421C1">
              <w:rPr>
                <w:b/>
                <w:bCs/>
              </w:rPr>
              <w:t>Course Taken</w:t>
            </w:r>
          </w:p>
        </w:tc>
        <w:tc>
          <w:tcPr>
            <w:tcW w:w="712" w:type="pct"/>
            <w:shd w:val="clear" w:color="auto" w:fill="D0CECE" w:themeFill="background2" w:themeFillShade="E6"/>
          </w:tcPr>
          <w:p w14:paraId="50A16187" w14:textId="77777777" w:rsidR="00BE33E9" w:rsidRPr="00D421C1" w:rsidRDefault="00BE33E9" w:rsidP="005F4611">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2B5F873E" w:rsidR="00075EB3" w:rsidRDefault="0090000B" w:rsidP="005F4611">
            <w:pPr>
              <w:spacing w:after="0"/>
              <w:rPr>
                <w:rFonts w:cstheme="minorHAnsi"/>
              </w:rPr>
            </w:pPr>
            <w:r>
              <w:rPr>
                <w:rFonts w:cstheme="minorHAnsi"/>
              </w:rPr>
              <w:t>Spanish</w:t>
            </w:r>
            <w:r w:rsidR="00F8094A">
              <w:rPr>
                <w:rFonts w:cstheme="minorHAnsi"/>
              </w:rPr>
              <w:t xml:space="preserve"> </w:t>
            </w:r>
            <w:r>
              <w:rPr>
                <w:rFonts w:cstheme="minorHAnsi"/>
              </w:rPr>
              <w:t xml:space="preserve">200+ </w:t>
            </w:r>
            <w:r w:rsidR="0078687A">
              <w:rPr>
                <w:rFonts w:cstheme="minorHAnsi"/>
              </w:rPr>
              <w:t>E</w:t>
            </w:r>
            <w:r w:rsidR="00F8094A">
              <w:rPr>
                <w:rFonts w:cstheme="minorHAnsi"/>
              </w:rPr>
              <w:t>lective</w:t>
            </w:r>
            <w:r w:rsidR="00075EB3">
              <w:rPr>
                <w:rFonts w:cstheme="minorHAnsi"/>
              </w:rPr>
              <w:t xml:space="preserve"> (4cr)</w:t>
            </w:r>
          </w:p>
          <w:p w14:paraId="2E9819B0" w14:textId="34517AEA" w:rsidR="00075EB3" w:rsidRPr="00075EB3" w:rsidRDefault="00075EB3" w:rsidP="005F4611">
            <w:pPr>
              <w:spacing w:after="0"/>
              <w:rPr>
                <w:rFonts w:cstheme="minorHAnsi"/>
              </w:rPr>
            </w:pPr>
          </w:p>
        </w:tc>
        <w:tc>
          <w:tcPr>
            <w:tcW w:w="671" w:type="pct"/>
          </w:tcPr>
          <w:p w14:paraId="1C1E2F62" w14:textId="77777777" w:rsidR="00075EB3" w:rsidRPr="00902A5F" w:rsidRDefault="00075EB3" w:rsidP="005F4611">
            <w:pPr>
              <w:spacing w:after="0"/>
              <w:rPr>
                <w:rFonts w:cstheme="minorHAnsi"/>
              </w:rPr>
            </w:pPr>
          </w:p>
        </w:tc>
        <w:tc>
          <w:tcPr>
            <w:tcW w:w="712" w:type="pct"/>
          </w:tcPr>
          <w:p w14:paraId="4D0C9027" w14:textId="77777777" w:rsidR="00075EB3" w:rsidRPr="00902A5F" w:rsidRDefault="00075EB3" w:rsidP="005F4611">
            <w:pPr>
              <w:spacing w:after="0"/>
              <w:rPr>
                <w:rFonts w:cstheme="minorHAnsi"/>
              </w:rPr>
            </w:pPr>
          </w:p>
        </w:tc>
      </w:tr>
      <w:tr w:rsidR="00075EB3" w:rsidRPr="00902A5F" w14:paraId="67CE31EF" w14:textId="77777777" w:rsidTr="00F8094A">
        <w:trPr>
          <w:cantSplit/>
        </w:trPr>
        <w:tc>
          <w:tcPr>
            <w:tcW w:w="3617" w:type="pct"/>
          </w:tcPr>
          <w:p w14:paraId="180A8EC7" w14:textId="77777777" w:rsidR="0090000B" w:rsidRDefault="0090000B" w:rsidP="005F4611">
            <w:pPr>
              <w:spacing w:after="0"/>
              <w:rPr>
                <w:rFonts w:cstheme="minorHAnsi"/>
              </w:rPr>
            </w:pPr>
            <w:r>
              <w:rPr>
                <w:rFonts w:cstheme="minorHAnsi"/>
              </w:rPr>
              <w:t>Spanish 200+ Elective (4cr)</w:t>
            </w:r>
          </w:p>
          <w:p w14:paraId="7093E702" w14:textId="59A76422" w:rsidR="00816B2C" w:rsidRDefault="00816B2C" w:rsidP="005F4611">
            <w:pPr>
              <w:spacing w:after="0"/>
              <w:rPr>
                <w:rFonts w:cstheme="minorHAnsi"/>
              </w:rPr>
            </w:pPr>
          </w:p>
        </w:tc>
        <w:tc>
          <w:tcPr>
            <w:tcW w:w="671" w:type="pct"/>
          </w:tcPr>
          <w:p w14:paraId="75123454" w14:textId="77777777" w:rsidR="00075EB3" w:rsidRPr="00902A5F" w:rsidRDefault="00075EB3" w:rsidP="005F4611">
            <w:pPr>
              <w:spacing w:after="0"/>
              <w:rPr>
                <w:rFonts w:cstheme="minorHAnsi"/>
              </w:rPr>
            </w:pPr>
          </w:p>
        </w:tc>
        <w:tc>
          <w:tcPr>
            <w:tcW w:w="712" w:type="pct"/>
          </w:tcPr>
          <w:p w14:paraId="566E7D6A" w14:textId="77777777" w:rsidR="00075EB3" w:rsidRPr="00902A5F" w:rsidRDefault="00075EB3" w:rsidP="005F4611">
            <w:pPr>
              <w:spacing w:after="0"/>
              <w:rPr>
                <w:rFonts w:cstheme="minorHAnsi"/>
              </w:rPr>
            </w:pPr>
          </w:p>
        </w:tc>
      </w:tr>
      <w:tr w:rsidR="00F8094A" w:rsidRPr="00902A5F" w14:paraId="6FB547DF" w14:textId="77777777" w:rsidTr="00F8094A">
        <w:trPr>
          <w:cantSplit/>
        </w:trPr>
        <w:tc>
          <w:tcPr>
            <w:tcW w:w="3617" w:type="pct"/>
          </w:tcPr>
          <w:p w14:paraId="68143385" w14:textId="3835ED81" w:rsidR="0090000B" w:rsidRDefault="0090000B" w:rsidP="005F4611">
            <w:pPr>
              <w:spacing w:after="0"/>
              <w:rPr>
                <w:rFonts w:cstheme="minorHAnsi"/>
              </w:rPr>
            </w:pPr>
            <w:r>
              <w:rPr>
                <w:rFonts w:cstheme="minorHAnsi"/>
              </w:rPr>
              <w:t>Spanish 300+ Elective (4cr)</w:t>
            </w:r>
          </w:p>
          <w:p w14:paraId="18FFF42E" w14:textId="7509E1F9" w:rsidR="00F8094A" w:rsidRDefault="00F8094A" w:rsidP="005F4611">
            <w:pPr>
              <w:spacing w:after="0"/>
              <w:rPr>
                <w:rFonts w:cstheme="minorHAnsi"/>
              </w:rPr>
            </w:pPr>
          </w:p>
        </w:tc>
        <w:tc>
          <w:tcPr>
            <w:tcW w:w="671" w:type="pct"/>
          </w:tcPr>
          <w:p w14:paraId="2E473B4A" w14:textId="77777777" w:rsidR="00F8094A" w:rsidRPr="00902A5F" w:rsidRDefault="00F8094A" w:rsidP="005F4611">
            <w:pPr>
              <w:spacing w:after="0"/>
              <w:rPr>
                <w:rFonts w:cstheme="minorHAnsi"/>
              </w:rPr>
            </w:pPr>
          </w:p>
        </w:tc>
        <w:tc>
          <w:tcPr>
            <w:tcW w:w="712" w:type="pct"/>
          </w:tcPr>
          <w:p w14:paraId="7DBA50A8" w14:textId="77777777" w:rsidR="00F8094A" w:rsidRPr="00902A5F" w:rsidRDefault="00F8094A" w:rsidP="005F4611">
            <w:pPr>
              <w:spacing w:after="0"/>
              <w:rPr>
                <w:rFonts w:cstheme="minorHAnsi"/>
              </w:rPr>
            </w:pPr>
          </w:p>
        </w:tc>
      </w:tr>
      <w:tr w:rsidR="00F8094A" w:rsidRPr="00902A5F" w14:paraId="11E0A58C" w14:textId="77777777" w:rsidTr="00F8094A">
        <w:trPr>
          <w:cantSplit/>
        </w:trPr>
        <w:tc>
          <w:tcPr>
            <w:tcW w:w="3617" w:type="pct"/>
          </w:tcPr>
          <w:p w14:paraId="7E64BF71" w14:textId="77777777" w:rsidR="0090000B" w:rsidRDefault="0090000B" w:rsidP="005F4611">
            <w:pPr>
              <w:spacing w:after="0"/>
              <w:rPr>
                <w:rFonts w:cstheme="minorHAnsi"/>
              </w:rPr>
            </w:pPr>
            <w:r>
              <w:rPr>
                <w:rFonts w:cstheme="minorHAnsi"/>
              </w:rPr>
              <w:t>Spanish 300+ Elective (4cr)</w:t>
            </w:r>
          </w:p>
          <w:p w14:paraId="4338A12C" w14:textId="77777777" w:rsidR="00F8094A" w:rsidRDefault="00F8094A" w:rsidP="005F4611">
            <w:pPr>
              <w:spacing w:after="0"/>
              <w:rPr>
                <w:rFonts w:cstheme="minorHAnsi"/>
              </w:rPr>
            </w:pPr>
          </w:p>
        </w:tc>
        <w:tc>
          <w:tcPr>
            <w:tcW w:w="671" w:type="pct"/>
          </w:tcPr>
          <w:p w14:paraId="6E8BF9D6" w14:textId="77777777" w:rsidR="00F8094A" w:rsidRPr="00902A5F" w:rsidRDefault="00F8094A" w:rsidP="005F4611">
            <w:pPr>
              <w:spacing w:after="0"/>
              <w:rPr>
                <w:rFonts w:cstheme="minorHAnsi"/>
              </w:rPr>
            </w:pPr>
          </w:p>
        </w:tc>
        <w:tc>
          <w:tcPr>
            <w:tcW w:w="712" w:type="pct"/>
          </w:tcPr>
          <w:p w14:paraId="0AFC7351" w14:textId="77777777" w:rsidR="00F8094A" w:rsidRPr="00902A5F" w:rsidRDefault="00F8094A" w:rsidP="005F4611">
            <w:pPr>
              <w:spacing w:after="0"/>
              <w:rPr>
                <w:rFonts w:cstheme="minorHAnsi"/>
              </w:rPr>
            </w:pPr>
          </w:p>
        </w:tc>
      </w:tr>
      <w:tr w:rsidR="0090000B" w:rsidRPr="00902A5F" w14:paraId="6E3B7777" w14:textId="77777777" w:rsidTr="00F8094A">
        <w:trPr>
          <w:cantSplit/>
        </w:trPr>
        <w:tc>
          <w:tcPr>
            <w:tcW w:w="3617" w:type="pct"/>
          </w:tcPr>
          <w:p w14:paraId="7A630C62" w14:textId="77777777" w:rsidR="0090000B" w:rsidRDefault="0090000B" w:rsidP="005F4611">
            <w:pPr>
              <w:spacing w:after="0"/>
              <w:rPr>
                <w:rFonts w:cstheme="minorHAnsi"/>
              </w:rPr>
            </w:pPr>
            <w:r>
              <w:rPr>
                <w:rFonts w:cstheme="minorHAnsi"/>
              </w:rPr>
              <w:t>Spanish 300+ Elective (4cr)</w:t>
            </w:r>
          </w:p>
          <w:p w14:paraId="6C152E58" w14:textId="77777777" w:rsidR="0090000B" w:rsidRDefault="0090000B" w:rsidP="005F4611">
            <w:pPr>
              <w:spacing w:after="0"/>
              <w:rPr>
                <w:rFonts w:cstheme="minorHAnsi"/>
              </w:rPr>
            </w:pPr>
          </w:p>
        </w:tc>
        <w:tc>
          <w:tcPr>
            <w:tcW w:w="671" w:type="pct"/>
          </w:tcPr>
          <w:p w14:paraId="039FD17F" w14:textId="77777777" w:rsidR="0090000B" w:rsidRPr="00902A5F" w:rsidRDefault="0090000B" w:rsidP="005F4611">
            <w:pPr>
              <w:spacing w:after="0"/>
              <w:rPr>
                <w:rFonts w:cstheme="minorHAnsi"/>
              </w:rPr>
            </w:pPr>
          </w:p>
        </w:tc>
        <w:tc>
          <w:tcPr>
            <w:tcW w:w="712" w:type="pct"/>
          </w:tcPr>
          <w:p w14:paraId="25349B6D" w14:textId="77777777" w:rsidR="0090000B" w:rsidRPr="00902A5F" w:rsidRDefault="0090000B" w:rsidP="005F4611">
            <w:pPr>
              <w:spacing w:after="0"/>
              <w:rPr>
                <w:rFonts w:cstheme="minorHAnsi"/>
              </w:rPr>
            </w:pPr>
          </w:p>
        </w:tc>
      </w:tr>
      <w:tr w:rsidR="0090000B" w:rsidRPr="00902A5F" w14:paraId="62CF50B9" w14:textId="77777777" w:rsidTr="00F8094A">
        <w:trPr>
          <w:cantSplit/>
        </w:trPr>
        <w:tc>
          <w:tcPr>
            <w:tcW w:w="3617" w:type="pct"/>
          </w:tcPr>
          <w:p w14:paraId="4658B63A" w14:textId="77777777" w:rsidR="0090000B" w:rsidRDefault="0090000B" w:rsidP="005F4611">
            <w:pPr>
              <w:spacing w:after="0"/>
              <w:rPr>
                <w:rFonts w:cstheme="minorHAnsi"/>
              </w:rPr>
            </w:pPr>
            <w:r>
              <w:rPr>
                <w:rFonts w:cstheme="minorHAnsi"/>
              </w:rPr>
              <w:t>Spanish 300+ Elective (4cr)</w:t>
            </w:r>
          </w:p>
          <w:p w14:paraId="1FD6AE7D" w14:textId="77777777" w:rsidR="0090000B" w:rsidRDefault="0090000B" w:rsidP="005F4611">
            <w:pPr>
              <w:spacing w:after="0"/>
              <w:rPr>
                <w:rFonts w:cstheme="minorHAnsi"/>
              </w:rPr>
            </w:pPr>
          </w:p>
        </w:tc>
        <w:tc>
          <w:tcPr>
            <w:tcW w:w="671" w:type="pct"/>
          </w:tcPr>
          <w:p w14:paraId="09F0BA65" w14:textId="77777777" w:rsidR="0090000B" w:rsidRPr="00902A5F" w:rsidRDefault="0090000B" w:rsidP="005F4611">
            <w:pPr>
              <w:spacing w:after="0"/>
              <w:rPr>
                <w:rFonts w:cstheme="minorHAnsi"/>
              </w:rPr>
            </w:pPr>
          </w:p>
        </w:tc>
        <w:tc>
          <w:tcPr>
            <w:tcW w:w="712" w:type="pct"/>
          </w:tcPr>
          <w:p w14:paraId="732B6504" w14:textId="77777777" w:rsidR="0090000B" w:rsidRPr="00902A5F" w:rsidRDefault="0090000B" w:rsidP="005F4611">
            <w:pPr>
              <w:spacing w:after="0"/>
              <w:rPr>
                <w:rFonts w:cstheme="minorHAnsi"/>
              </w:rPr>
            </w:pPr>
          </w:p>
        </w:tc>
      </w:tr>
    </w:tbl>
    <w:p w14:paraId="6764A1E6" w14:textId="77777777" w:rsidR="00236044" w:rsidRDefault="00236044" w:rsidP="005F4611">
      <w:pPr>
        <w:spacing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1"/>
  </w:num>
  <w:num w:numId="2" w16cid:durableId="961304677">
    <w:abstractNumId w:val="3"/>
  </w:num>
  <w:num w:numId="3" w16cid:durableId="1434087218">
    <w:abstractNumId w:val="0"/>
  </w:num>
  <w:num w:numId="4" w16cid:durableId="155388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czNLc0tTS0MDVU0lEKTi0uzszPAykwqgUATHNULCwAAAA="/>
  </w:docVars>
  <w:rsids>
    <w:rsidRoot w:val="00236044"/>
    <w:rsid w:val="0003568E"/>
    <w:rsid w:val="00075EB3"/>
    <w:rsid w:val="000F701E"/>
    <w:rsid w:val="002055AC"/>
    <w:rsid w:val="0023383A"/>
    <w:rsid w:val="00236044"/>
    <w:rsid w:val="002F4D1C"/>
    <w:rsid w:val="0046517F"/>
    <w:rsid w:val="004C4069"/>
    <w:rsid w:val="005F4611"/>
    <w:rsid w:val="00654630"/>
    <w:rsid w:val="00731A4B"/>
    <w:rsid w:val="0078687A"/>
    <w:rsid w:val="00807EDC"/>
    <w:rsid w:val="00816B2C"/>
    <w:rsid w:val="00854724"/>
    <w:rsid w:val="008C6524"/>
    <w:rsid w:val="0090000B"/>
    <w:rsid w:val="009F04CC"/>
    <w:rsid w:val="00AD1F91"/>
    <w:rsid w:val="00BE33E9"/>
    <w:rsid w:val="00C77DEC"/>
    <w:rsid w:val="00CE37F8"/>
    <w:rsid w:val="00D26541"/>
    <w:rsid w:val="00D9493C"/>
    <w:rsid w:val="00E516CA"/>
    <w:rsid w:val="00ED1DC8"/>
    <w:rsid w:val="00F15458"/>
    <w:rsid w:val="00F26A74"/>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86A2-6F48-4A4D-8D69-983463E0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Spanish</dc:title>
  <dc:subject/>
  <dc:creator>The University of Tampa</dc:creator>
  <cp:keywords>Unofficial, Degree, Planning, Worksheet, Major, BA, in, Spanish, The, University, of, Tampa</cp:keywords>
  <dc:description/>
  <cp:lastModifiedBy>seAndres Brun Cuervos</cp:lastModifiedBy>
  <cp:revision>14</cp:revision>
  <dcterms:created xsi:type="dcterms:W3CDTF">2023-09-06T15:04:00Z</dcterms:created>
  <dcterms:modified xsi:type="dcterms:W3CDTF">2023-11-07T19:13:00Z</dcterms:modified>
</cp:coreProperties>
</file>