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7A744DB8"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2E7B4C">
        <w:t>Molecular</w:t>
      </w:r>
    </w:p>
    <w:p w14:paraId="297ECB5F" w14:textId="17A59833"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016DC5">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3B70AC99" w:rsidR="00BE4E97" w:rsidRDefault="00000000" w:rsidP="007257D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23F1031E"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000389">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26284184"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000389">
            <w:rPr>
              <w:rFonts w:ascii="MS Gothic" w:eastAsia="MS Gothic" w:hAnsi="MS Gothic" w:hint="eastAsia"/>
            </w:rPr>
            <w:t>☐</w:t>
          </w:r>
        </w:sdtContent>
      </w:sdt>
      <w:r w:rsidR="00735149">
        <w:t>Students must maintain a major minimum GPA of 2.0 to be eligible for graduation.</w:t>
      </w:r>
    </w:p>
    <w:p w14:paraId="585D55CE" w14:textId="6D163CB5"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000389">
            <w:rPr>
              <w:rFonts w:ascii="MS Gothic" w:eastAsia="MS Gothic" w:hAnsi="MS Gothic" w:hint="eastAsia"/>
            </w:rPr>
            <w:t>☐</w:t>
          </w:r>
        </w:sdtContent>
      </w:sdt>
      <w:r w:rsidR="00735149">
        <w:t>Students must complete 31 credit hours in residency at UT to be eligible for graduation.</w:t>
      </w:r>
    </w:p>
    <w:p w14:paraId="4D134BD8" w14:textId="5C960D0A"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000389">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A00FD00" w:rsidR="002946E6" w:rsidRPr="0000459F" w:rsidRDefault="00000000" w:rsidP="007257D8">
            <w:pPr>
              <w:spacing w:after="0"/>
            </w:pPr>
            <w:hyperlink r:id="rId8" w:tooltip="Core Humanities" w:history="1">
              <w:r w:rsidR="00E441B3" w:rsidRPr="00000389">
                <w:rPr>
                  <w:rStyle w:val="Hyperlink"/>
                  <w:color w:val="0000FF"/>
                </w:rPr>
                <w:t>Core</w:t>
              </w:r>
              <w:r w:rsidR="002946E6" w:rsidRPr="00000389">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3CB3D70B" w:rsidR="002946E6" w:rsidRDefault="00000000" w:rsidP="007257D8">
            <w:pPr>
              <w:spacing w:after="0"/>
            </w:pPr>
            <w:hyperlink r:id="rId9" w:tooltip="Core Social Science" w:history="1">
              <w:r w:rsidR="00E441B3" w:rsidRPr="00000389">
                <w:rPr>
                  <w:rStyle w:val="Hyperlink"/>
                  <w:color w:val="0000FF"/>
                </w:rPr>
                <w:t>Core</w:t>
              </w:r>
              <w:r w:rsidR="002946E6" w:rsidRPr="00000389">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0623D929" w14:textId="77777777" w:rsidR="00964762" w:rsidRDefault="00964762" w:rsidP="0096476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284EB1A5" w14:textId="77777777" w:rsidR="00964762" w:rsidRDefault="00964762" w:rsidP="0096476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5D9BA061" w:rsidR="00E415F7" w:rsidRPr="00964762" w:rsidRDefault="00964762" w:rsidP="0096476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61A4C1D7" w:rsidR="00403CB1" w:rsidRPr="00EA6BBF" w:rsidRDefault="00000000" w:rsidP="007257D8">
            <w:pPr>
              <w:spacing w:after="0"/>
              <w:rPr>
                <w:rStyle w:val="Hyperlink"/>
                <w:color w:val="auto"/>
                <w:u w:val="none"/>
              </w:rPr>
            </w:pPr>
            <w:hyperlink r:id="rId10" w:tooltip="Social or Behavioral Science" w:history="1">
              <w:r w:rsidR="00403CB1" w:rsidRPr="007C48D1">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4465B6AB" w:rsidR="00403CB1" w:rsidRPr="00EA6BBF" w:rsidRDefault="00000000" w:rsidP="007257D8">
            <w:pPr>
              <w:spacing w:after="0"/>
              <w:rPr>
                <w:rStyle w:val="Hyperlink"/>
                <w:color w:val="auto"/>
                <w:u w:val="none"/>
              </w:rPr>
            </w:pPr>
            <w:hyperlink r:id="rId11" w:tooltip="Visual and Performing Arts" w:history="1">
              <w:r w:rsidR="00403CB1" w:rsidRPr="007C48D1">
                <w:rPr>
                  <w:rStyle w:val="Hyperlink"/>
                  <w:color w:val="0000FF"/>
                </w:rPr>
                <w:t xml:space="preserve">Visual </w:t>
              </w:r>
              <w:r w:rsidR="00F96F24" w:rsidRPr="007C48D1">
                <w:rPr>
                  <w:rStyle w:val="Hyperlink"/>
                  <w:color w:val="0000FF"/>
                </w:rPr>
                <w:t>and</w:t>
              </w:r>
              <w:r w:rsidR="00403CB1" w:rsidRPr="007C48D1">
                <w:rPr>
                  <w:rStyle w:val="Hyperlink"/>
                  <w:color w:val="0000FF"/>
                </w:rPr>
                <w:t xml:space="preserve"> Performing Art</w:t>
              </w:r>
              <w:r w:rsidR="00F96F24" w:rsidRPr="007C48D1">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7DCE6AB2" w:rsidR="00403CB1" w:rsidRDefault="00000000" w:rsidP="007257D8">
            <w:pPr>
              <w:spacing w:after="0"/>
            </w:pPr>
            <w:hyperlink r:id="rId12" w:tooltip="Text-Based Humanities" w:history="1">
              <w:r w:rsidR="00403CB1" w:rsidRPr="007C48D1">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3224237A" w:rsidR="00403CB1" w:rsidRDefault="00000000" w:rsidP="007257D8">
            <w:pPr>
              <w:spacing w:after="0"/>
            </w:pPr>
            <w:hyperlink r:id="rId13" w:tooltip="Natural Science" w:history="1">
              <w:r w:rsidR="00403CB1" w:rsidRPr="007C48D1">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1AD9A37F" w:rsidR="00D421C1" w:rsidRDefault="005F79E4" w:rsidP="007257D8">
            <w:pPr>
              <w:spacing w:after="0"/>
            </w:pPr>
            <w:r>
              <w:t>CHE 152</w:t>
            </w:r>
            <w:r w:rsidR="00FB7F7E">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7082540D" w:rsidR="00BF7739" w:rsidRDefault="000D390D" w:rsidP="007257D8">
      <w:pPr>
        <w:pStyle w:val="Heading2"/>
        <w:spacing w:before="0"/>
      </w:pPr>
      <w:r>
        <w:t xml:space="preserve">Biology - </w:t>
      </w:r>
      <w:r w:rsidR="00046CF5">
        <w:t>Molecular</w:t>
      </w:r>
      <w:r w:rsidR="00BF7739">
        <w:t xml:space="preserve"> Requirements (</w:t>
      </w:r>
      <w:r>
        <w:t>6</w:t>
      </w:r>
      <w:r w:rsidR="005055F9">
        <w:t>1</w:t>
      </w:r>
      <w:r>
        <w:t>-65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0F037067" w:rsidR="00310FB1" w:rsidRDefault="00310FB1" w:rsidP="000836B6">
            <w:pPr>
              <w:spacing w:after="0"/>
              <w:rPr>
                <w:rFonts w:cstheme="minorHAnsi"/>
              </w:rPr>
            </w:pPr>
            <w:r>
              <w:rPr>
                <w:rFonts w:cstheme="minorHAnsi"/>
              </w:rPr>
              <w:t>CHE 155L (1cr) – General Chemistry II (2) Laboratory</w:t>
            </w:r>
            <w:r w:rsidR="00FB7F7E">
              <w:rPr>
                <w:rFonts w:cstheme="minorHAnsi"/>
              </w:rPr>
              <w:t xml:space="preserve"> (Can fulfill Spartan Studies Distribution Requirement)</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3DF51A54" w:rsidR="00FC045F" w:rsidRPr="00FC045F" w:rsidRDefault="00FC045F" w:rsidP="007257D8">
            <w:pPr>
              <w:spacing w:after="0"/>
            </w:pPr>
            <w:r>
              <w:t xml:space="preserve">Choose four (4) credit hours from the </w:t>
            </w:r>
            <w:hyperlink r:id="rId14" w:tooltip="Collateral Options for a BA in Biology" w:history="1">
              <w:r w:rsidRPr="007C48D1">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45250722"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7C48D1">
                <w:rPr>
                  <w:rStyle w:val="Hyperlink"/>
                  <w:rFonts w:ascii="Times New Roman" w:hAnsi="Times New Roman"/>
                  <w:color w:val="0000FF"/>
                </w:rPr>
                <w:t>Category Elective</w:t>
              </w:r>
              <w:r w:rsidR="003A6270" w:rsidRPr="007C48D1">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4494E56C"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30143D6F"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7CFFF5EB" w:rsidR="00842DBA" w:rsidRDefault="00842DBA" w:rsidP="00842DBA">
            <w:pPr>
              <w:spacing w:after="0"/>
              <w:rPr>
                <w:rFonts w:cstheme="minorHAnsi"/>
              </w:rPr>
            </w:pPr>
            <w:r>
              <w:rPr>
                <w:rFonts w:cstheme="minorHAnsi"/>
              </w:rPr>
              <w:t>BIO Category II (</w:t>
            </w:r>
            <w:r w:rsidR="006804C6">
              <w:rPr>
                <w:rFonts w:cstheme="minorHAnsi"/>
              </w:rPr>
              <w:t>2</w:t>
            </w:r>
            <w:r>
              <w:rPr>
                <w:rFonts w:cstheme="minorHAnsi"/>
              </w:rPr>
              <w:t>)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C795" w14:textId="77777777" w:rsidR="00120BC7" w:rsidRDefault="00120BC7" w:rsidP="00A5113C">
      <w:pPr>
        <w:spacing w:after="0"/>
      </w:pPr>
      <w:r>
        <w:separator/>
      </w:r>
    </w:p>
  </w:endnote>
  <w:endnote w:type="continuationSeparator" w:id="0">
    <w:p w14:paraId="49F84D5B" w14:textId="77777777" w:rsidR="00120BC7" w:rsidRDefault="00120BC7"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C4B2" w14:textId="77777777" w:rsidR="00120BC7" w:rsidRDefault="00120BC7" w:rsidP="00A5113C">
      <w:pPr>
        <w:spacing w:after="0"/>
      </w:pPr>
      <w:r>
        <w:separator/>
      </w:r>
    </w:p>
  </w:footnote>
  <w:footnote w:type="continuationSeparator" w:id="0">
    <w:p w14:paraId="22626050" w14:textId="77777777" w:rsidR="00120BC7" w:rsidRDefault="00120BC7"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036000">
    <w:abstractNumId w:val="1"/>
  </w:num>
  <w:num w:numId="2" w16cid:durableId="1226257972">
    <w:abstractNumId w:val="2"/>
  </w:num>
  <w:num w:numId="3" w16cid:durableId="155531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0389"/>
    <w:rsid w:val="0000459F"/>
    <w:rsid w:val="00016DC5"/>
    <w:rsid w:val="00046CF5"/>
    <w:rsid w:val="000652B6"/>
    <w:rsid w:val="000B7FC0"/>
    <w:rsid w:val="000D0B20"/>
    <w:rsid w:val="000D390D"/>
    <w:rsid w:val="00120BC7"/>
    <w:rsid w:val="001C0A72"/>
    <w:rsid w:val="001F6F90"/>
    <w:rsid w:val="00230D07"/>
    <w:rsid w:val="00233CE6"/>
    <w:rsid w:val="002566EE"/>
    <w:rsid w:val="002946E6"/>
    <w:rsid w:val="002E08A0"/>
    <w:rsid w:val="002E7B4C"/>
    <w:rsid w:val="002F43B3"/>
    <w:rsid w:val="00310FB1"/>
    <w:rsid w:val="00366CF4"/>
    <w:rsid w:val="003A3329"/>
    <w:rsid w:val="003A6270"/>
    <w:rsid w:val="00403CB1"/>
    <w:rsid w:val="00422485"/>
    <w:rsid w:val="00433553"/>
    <w:rsid w:val="004411A7"/>
    <w:rsid w:val="00443AAD"/>
    <w:rsid w:val="0046097D"/>
    <w:rsid w:val="00475D23"/>
    <w:rsid w:val="005055F9"/>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804C6"/>
    <w:rsid w:val="006A68B8"/>
    <w:rsid w:val="006E0A87"/>
    <w:rsid w:val="006F2877"/>
    <w:rsid w:val="007257D8"/>
    <w:rsid w:val="00726D6E"/>
    <w:rsid w:val="00735149"/>
    <w:rsid w:val="00752C28"/>
    <w:rsid w:val="007A0E31"/>
    <w:rsid w:val="007C48D1"/>
    <w:rsid w:val="007F140B"/>
    <w:rsid w:val="00842DBA"/>
    <w:rsid w:val="00880BBB"/>
    <w:rsid w:val="008E3B42"/>
    <w:rsid w:val="008F4595"/>
    <w:rsid w:val="00902A5F"/>
    <w:rsid w:val="009431D7"/>
    <w:rsid w:val="00964762"/>
    <w:rsid w:val="00987D73"/>
    <w:rsid w:val="009A4305"/>
    <w:rsid w:val="009E320D"/>
    <w:rsid w:val="00A12A9C"/>
    <w:rsid w:val="00A2509F"/>
    <w:rsid w:val="00A5113C"/>
    <w:rsid w:val="00A52490"/>
    <w:rsid w:val="00A54351"/>
    <w:rsid w:val="00AA7C8C"/>
    <w:rsid w:val="00AE0437"/>
    <w:rsid w:val="00B26CAC"/>
    <w:rsid w:val="00B62751"/>
    <w:rsid w:val="00BE4E97"/>
    <w:rsid w:val="00BF6D7D"/>
    <w:rsid w:val="00BF7739"/>
    <w:rsid w:val="00C20C31"/>
    <w:rsid w:val="00CB6122"/>
    <w:rsid w:val="00D421C1"/>
    <w:rsid w:val="00D6459B"/>
    <w:rsid w:val="00D678A4"/>
    <w:rsid w:val="00D77D18"/>
    <w:rsid w:val="00D93917"/>
    <w:rsid w:val="00E32A00"/>
    <w:rsid w:val="00E415F7"/>
    <w:rsid w:val="00E441B3"/>
    <w:rsid w:val="00E55358"/>
    <w:rsid w:val="00EA684D"/>
    <w:rsid w:val="00EA6BBF"/>
    <w:rsid w:val="00EF2C1D"/>
    <w:rsid w:val="00F423EC"/>
    <w:rsid w:val="00F60F78"/>
    <w:rsid w:val="00F60F98"/>
    <w:rsid w:val="00F9269F"/>
    <w:rsid w:val="00F96F24"/>
    <w:rsid w:val="00FB7F7E"/>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4762"/>
    <w:pPr>
      <w:spacing w:before="100" w:beforeAutospacing="1" w:after="100" w:afterAutospacing="1"/>
    </w:pPr>
    <w:rPr>
      <w:rFonts w:ascii="Times New Roman" w:hAnsi="Times New Roman"/>
    </w:rPr>
  </w:style>
  <w:style w:type="character" w:customStyle="1" w:styleId="normaltextrun">
    <w:name w:val="normaltextrun"/>
    <w:basedOn w:val="DefaultParagraphFont"/>
    <w:rsid w:val="00964762"/>
  </w:style>
  <w:style w:type="character" w:customStyle="1" w:styleId="eop">
    <w:name w:val="eop"/>
    <w:basedOn w:val="DefaultParagraphFont"/>
    <w:rsid w:val="0096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29134">
      <w:bodyDiv w:val="1"/>
      <w:marLeft w:val="0"/>
      <w:marRight w:val="0"/>
      <w:marTop w:val="0"/>
      <w:marBottom w:val="0"/>
      <w:divBdr>
        <w:top w:val="none" w:sz="0" w:space="0" w:color="auto"/>
        <w:left w:val="none" w:sz="0" w:space="0" w:color="auto"/>
        <w:bottom w:val="none" w:sz="0" w:space="0" w:color="auto"/>
        <w:right w:val="none" w:sz="0" w:space="0" w:color="auto"/>
      </w:divBdr>
      <w:divsChild>
        <w:div w:id="327635013">
          <w:marLeft w:val="0"/>
          <w:marRight w:val="0"/>
          <w:marTop w:val="0"/>
          <w:marBottom w:val="0"/>
          <w:divBdr>
            <w:top w:val="none" w:sz="0" w:space="0" w:color="auto"/>
            <w:left w:val="none" w:sz="0" w:space="0" w:color="auto"/>
            <w:bottom w:val="none" w:sz="0" w:space="0" w:color="auto"/>
            <w:right w:val="none" w:sz="0" w:space="0" w:color="auto"/>
          </w:divBdr>
        </w:div>
        <w:div w:id="394664112">
          <w:marLeft w:val="0"/>
          <w:marRight w:val="0"/>
          <w:marTop w:val="0"/>
          <w:marBottom w:val="0"/>
          <w:divBdr>
            <w:top w:val="none" w:sz="0" w:space="0" w:color="auto"/>
            <w:left w:val="none" w:sz="0" w:space="0" w:color="auto"/>
            <w:bottom w:val="none" w:sz="0" w:space="0" w:color="auto"/>
            <w:right w:val="none" w:sz="0" w:space="0" w:color="auto"/>
          </w:divBdr>
        </w:div>
        <w:div w:id="39250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Molecular</vt:lpstr>
    </vt:vector>
  </TitlesOfParts>
  <Manager/>
  <Company/>
  <LinksUpToDate>false</LinksUpToDate>
  <CharactersWithSpaces>7497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Molecular</dc:title>
  <dc:subject/>
  <dc:creator>The University of Tampa</dc:creator>
  <cp:keywords>Unofficial, Degree, Planning, Worksheet, Major, BA, in, Biology, Molecular, The, University, of, Tampa</cp:keywords>
  <dc:description/>
  <cp:lastModifiedBy>seKeely Wagner</cp:lastModifiedBy>
  <cp:revision>2</cp:revision>
  <dcterms:created xsi:type="dcterms:W3CDTF">2023-11-07T19:09:00Z</dcterms:created>
  <dcterms:modified xsi:type="dcterms:W3CDTF">2023-11-07T19:09:00Z</dcterms:modified>
  <cp:category/>
</cp:coreProperties>
</file>